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3"/>
      <w:bookmarkStart w:id="1" w:name="OLE_LINK4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380FA01E" w14:textId="360D6436" w:rsidR="00146A1B" w:rsidRPr="00C86D7A" w:rsidRDefault="00146A1B" w:rsidP="00114CB1">
      <w:pPr>
        <w:ind w:firstLine="0"/>
        <w:jc w:val="center"/>
        <w:rPr>
          <w:rFonts w:cs="Poppins"/>
          <w:bCs/>
          <w:sz w:val="32"/>
          <w:szCs w:val="32"/>
        </w:rPr>
      </w:pPr>
      <w:bookmarkStart w:id="2" w:name="_Hlk213754566"/>
      <w:r>
        <w:rPr>
          <w:rFonts w:cs="Poppins"/>
          <w:sz w:val="32"/>
          <w:szCs w:val="32"/>
          <w:lang w:val="pt-PT"/>
        </w:rPr>
        <w:t>Módulo 4: Modelo de Negócios Canvas e Metodologias de Aprendizagem</w:t>
      </w:r>
    </w:p>
    <w:p w14:paraId="1C3939FD" w14:textId="12688753" w:rsidR="00114CB1" w:rsidRPr="00C86D7A" w:rsidRDefault="00114CB1" w:rsidP="00146A1B">
      <w:pPr>
        <w:ind w:firstLine="0"/>
        <w:jc w:val="center"/>
        <w:rPr>
          <w:rFonts w:cs="Poppins"/>
          <w:bCs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Modelo de Negócio Canvas</w:t>
      </w:r>
    </w:p>
    <w:bookmarkEnd w:id="0"/>
    <w:bookmarkEnd w:id="1"/>
    <w:p w14:paraId="553C52EF" w14:textId="00497959" w:rsidR="008A0453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</w:rPr>
      </w:pPr>
    </w:p>
    <w:p w14:paraId="58A75E85" w14:textId="77777777" w:rsidR="00146A1B" w:rsidRDefault="00146A1B" w:rsidP="00951177">
      <w:pPr>
        <w:spacing w:line="276" w:lineRule="auto"/>
        <w:rPr>
          <w:rFonts w:cs="Poppins"/>
          <w:b/>
          <w:bCs/>
          <w:color w:val="3E762A"/>
        </w:rPr>
      </w:pPr>
      <w:bookmarkStart w:id="3" w:name="_Hlk186318967"/>
      <w:bookmarkEnd w:id="2"/>
    </w:p>
    <w:p w14:paraId="0BEC62E8" w14:textId="77777777" w:rsidR="00114CB1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</w:p>
    <w:p w14:paraId="03F14914" w14:textId="77777777" w:rsidR="00114CB1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</w:rPr>
      </w:pPr>
    </w:p>
    <w:p w14:paraId="2CE594F9" w14:textId="77777777" w:rsidR="00C86D7A" w:rsidRDefault="00C86D7A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br w:type="page"/>
      </w:r>
    </w:p>
    <w:p w14:paraId="5752027F" w14:textId="738ABF9B" w:rsidR="00F00116" w:rsidRPr="00CC5207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lastRenderedPageBreak/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4" w:name="_Toc183511817"/>
      <w:r>
        <w:rPr>
          <w:rFonts w:cs="Poppins"/>
          <w:i/>
          <w:iCs/>
          <w:color w:val="000000"/>
          <w:lang w:val="pt-PT"/>
        </w:rPr>
        <w:t xml:space="preserve">Financiado pela União Europeia. Os pontos de vista e opiniões expressos são, no entanto, da exclusiva responsabilidade do(s) autor(es)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3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9B1E2C3" w14:textId="2C3A05AC" w:rsidR="00D47453" w:rsidRPr="006F0D96" w:rsidRDefault="00951177" w:rsidP="006F0D96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  <w:lang w:val="pt-PT"/>
        </w:rPr>
        <w:br w:type="page"/>
      </w:r>
      <w:bookmarkStart w:id="5" w:name="_Toc183511818"/>
      <w:bookmarkEnd w:id="4"/>
    </w:p>
    <w:tbl>
      <w:tblPr>
        <w:tblStyle w:val="TabelacomGrelh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6F0D96" w14:paraId="6DF06F11" w14:textId="77777777" w:rsidTr="001D25FD">
        <w:tc>
          <w:tcPr>
            <w:tcW w:w="5382" w:type="dxa"/>
            <w:shd w:val="clear" w:color="auto" w:fill="3E762A"/>
            <w:vAlign w:val="center"/>
          </w:tcPr>
          <w:bookmarkEnd w:id="5"/>
          <w:p w14:paraId="5C5CE96F" w14:textId="77777777" w:rsidR="006F0D96" w:rsidRPr="009A1521" w:rsidRDefault="006F0D96" w:rsidP="001D25F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lastRenderedPageBreak/>
              <w:t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73742D73" w14:textId="77777777" w:rsidR="006F0D96" w:rsidRPr="00032440" w:rsidRDefault="006F0D96" w:rsidP="001D25F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4B0084B8" w14:textId="77777777" w:rsidR="006F0D96" w:rsidRPr="009A1521" w:rsidRDefault="006F0D96" w:rsidP="001D25F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Não</w:t>
            </w:r>
          </w:p>
        </w:tc>
      </w:tr>
      <w:tr w:rsidR="006F0D96" w14:paraId="43080133" w14:textId="77777777" w:rsidTr="001D25FD">
        <w:tc>
          <w:tcPr>
            <w:tcW w:w="5382" w:type="dxa"/>
          </w:tcPr>
          <w:p w14:paraId="3BE1D26B" w14:textId="1FEA640A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O Canvas inclui pelo menos um Segmento de clientes (por exemplo, turistas de bicicleta).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52146F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4E6BDB1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6D7813F9" w14:textId="77777777" w:rsidTr="001D25FD">
        <w:tc>
          <w:tcPr>
            <w:tcW w:w="5382" w:type="dxa"/>
          </w:tcPr>
          <w:p w14:paraId="2522C976" w14:textId="06548C0D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/>
                <w:color w:val="000000" w:themeColor="text1"/>
                <w:sz w:val="20"/>
                <w:szCs w:val="20"/>
                <w:lang w:val="pt-PT"/>
              </w:rPr>
              <w:t>A Proposta de valor apresenta um benefício exclusivo (por exemplo, pequeno-almoço com produtos da quinta).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29775BB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78C53CF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50DBBD7F" w14:textId="77777777" w:rsidTr="001D25FD">
        <w:tc>
          <w:tcPr>
            <w:tcW w:w="5382" w:type="dxa"/>
          </w:tcPr>
          <w:p w14:paraId="32A32740" w14:textId="748D77EE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 xml:space="preserve">Listagem em canais </w:t>
            </w:r>
            <w:r>
              <w:rPr>
                <w:rFonts w:eastAsia="Cambria" w:cs="Poppins"/>
                <w:i/>
                <w:iCs/>
                <w:color w:val="000000" w:themeColor="text1"/>
                <w:sz w:val="20"/>
                <w:szCs w:val="20"/>
                <w:lang w:val="pt-PT"/>
              </w:rPr>
              <w:t>online</w:t>
            </w: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 xml:space="preserve"> (Airbnb, Instagram) e </w:t>
            </w:r>
            <w:r>
              <w:rPr>
                <w:rFonts w:eastAsia="Cambria" w:cs="Poppins"/>
                <w:i/>
                <w:iCs/>
                <w:color w:val="000000" w:themeColor="text1"/>
                <w:sz w:val="20"/>
                <w:szCs w:val="20"/>
                <w:lang w:val="pt-PT"/>
              </w:rPr>
              <w:t>offline</w:t>
            </w: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 xml:space="preserve"> (posto de turismo).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8259C64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5ED6F83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0E97F71D" w14:textId="77777777" w:rsidTr="001D25FD">
        <w:tc>
          <w:tcPr>
            <w:tcW w:w="5382" w:type="dxa"/>
          </w:tcPr>
          <w:p w14:paraId="190180DD" w14:textId="723EE1EA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O bloco de Relações com os clientes explica como os hóspedes recebem suporte (</w:t>
            </w:r>
            <w:r>
              <w:rPr>
                <w:rFonts w:eastAsia="Cambria" w:cs="Poppins"/>
                <w:i/>
                <w:iCs/>
                <w:color w:val="000000" w:themeColor="text1"/>
                <w:sz w:val="20"/>
                <w:szCs w:val="20"/>
                <w:lang w:val="pt-PT"/>
              </w:rPr>
              <w:t>chatbot</w:t>
            </w: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, WhatsApp).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B95BF3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0965ED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52B2692A" w14:textId="77777777" w:rsidTr="001D25FD">
        <w:tc>
          <w:tcPr>
            <w:tcW w:w="5382" w:type="dxa"/>
          </w:tcPr>
          <w:p w14:paraId="76EFC7FB" w14:textId="716DC2F8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Os Fluxos de receitas mostram as principais fontes de rendimento e o modelo de preços.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7D7EE14" w14:textId="77777777" w:rsidR="006F0D96" w:rsidRDefault="006F0D96" w:rsidP="006F0D9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1D565E2" w14:textId="77777777" w:rsidR="006F0D96" w:rsidRDefault="006F0D96" w:rsidP="006F0D9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2EB7788F" w14:textId="77777777" w:rsidTr="001D25FD">
        <w:tc>
          <w:tcPr>
            <w:tcW w:w="5382" w:type="dxa"/>
          </w:tcPr>
          <w:p w14:paraId="217956D6" w14:textId="1ADD92C4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Os Principais recursos incluem ativos digitais (</w:t>
            </w:r>
            <w:r>
              <w:rPr>
                <w:rFonts w:eastAsia="Cambria" w:cs="Poppins"/>
                <w:i/>
                <w:iCs/>
                <w:color w:val="000000" w:themeColor="text1"/>
                <w:sz w:val="20"/>
                <w:szCs w:val="20"/>
                <w:lang w:val="pt-PT"/>
              </w:rPr>
              <w:t>website</w:t>
            </w: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, s</w:t>
            </w:r>
            <w:r>
              <w:rPr>
                <w:rFonts w:eastAsia="Cambria" w:cs="Poppins"/>
                <w:i/>
                <w:iCs/>
                <w:color w:val="000000" w:themeColor="text1"/>
                <w:sz w:val="20"/>
                <w:szCs w:val="20"/>
                <w:lang w:val="pt-PT"/>
              </w:rPr>
              <w:t xml:space="preserve">oftware </w:t>
            </w: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de reservas).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7051CC5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A2D80EB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6CA9CD62" w14:textId="77777777" w:rsidTr="001D25FD">
        <w:tc>
          <w:tcPr>
            <w:tcW w:w="5382" w:type="dxa"/>
          </w:tcPr>
          <w:p w14:paraId="4F98E0D6" w14:textId="4154279E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/>
                <w:color w:val="000000" w:themeColor="text1"/>
                <w:sz w:val="20"/>
                <w:szCs w:val="20"/>
                <w:lang w:val="pt-PT"/>
              </w:rPr>
              <w:t xml:space="preserve">As Principais atividades abrangem tarefas </w:t>
            </w:r>
            <w:r>
              <w:rPr>
                <w:rFonts w:eastAsia="Cambria"/>
                <w:i/>
                <w:iCs/>
                <w:color w:val="000000" w:themeColor="text1"/>
                <w:sz w:val="20"/>
                <w:szCs w:val="20"/>
                <w:lang w:val="pt-PT"/>
              </w:rPr>
              <w:t>online</w:t>
            </w:r>
            <w:r>
              <w:rPr>
                <w:rFonts w:eastAsia="Cambria"/>
                <w:color w:val="000000" w:themeColor="text1"/>
                <w:sz w:val="20"/>
                <w:szCs w:val="20"/>
                <w:lang w:val="pt-PT"/>
              </w:rPr>
              <w:t xml:space="preserve"> (publicações nas redes sociais) e tarefas no local (limpeza de quartos).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F6583F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3A42EF2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56ABBDCA" w14:textId="77777777" w:rsidTr="001D25FD">
        <w:tc>
          <w:tcPr>
            <w:tcW w:w="5382" w:type="dxa"/>
          </w:tcPr>
          <w:p w14:paraId="49390FC7" w14:textId="5480BE00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As Principais parcerias incluem plataformas OTA, guias locais e fornecedores.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D1F23C7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EAC6502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206C1759" w14:textId="77777777" w:rsidTr="001D25FD">
        <w:tc>
          <w:tcPr>
            <w:tcW w:w="5382" w:type="dxa"/>
          </w:tcPr>
          <w:p w14:paraId="13E0726F" w14:textId="6DC869FA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eastAsia="Cambria" w:cs="Poppins"/>
                <w:color w:val="000000" w:themeColor="text1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A Estrutura de custos inclui custos fixos (hipoteca) e variáveis (lavagem de roupa de cama).</w:t>
            </w:r>
          </w:p>
        </w:tc>
        <w:sdt>
          <w:sdtPr>
            <w:rPr>
              <w:rFonts w:cs="Poppins"/>
              <w:sz w:val="20"/>
              <w:szCs w:val="20"/>
            </w:rPr>
            <w:id w:val="1129986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492DA2D" w14:textId="03BF1303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76440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0C8BF9F" w14:textId="544916DB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6F0D96" w14:paraId="4B34E965" w14:textId="77777777" w:rsidTr="001D25FD">
        <w:tc>
          <w:tcPr>
            <w:tcW w:w="5382" w:type="dxa"/>
          </w:tcPr>
          <w:p w14:paraId="027E5B33" w14:textId="47EAA9D9" w:rsidR="006F0D96" w:rsidRPr="006F0D96" w:rsidRDefault="006F0D96" w:rsidP="006F0D96">
            <w:pPr>
              <w:spacing w:line="276" w:lineRule="auto"/>
              <w:ind w:firstLine="0"/>
              <w:jc w:val="left"/>
              <w:rPr>
                <w:rFonts w:eastAsia="Cambria" w:cs="Poppins"/>
                <w:color w:val="000000" w:themeColor="text1"/>
                <w:sz w:val="20"/>
                <w:szCs w:val="20"/>
              </w:rPr>
            </w:pPr>
            <w:r>
              <w:rPr>
                <w:rFonts w:eastAsia="Cambria" w:cs="Poppins"/>
                <w:color w:val="000000" w:themeColor="text1"/>
                <w:sz w:val="20"/>
                <w:szCs w:val="20"/>
                <w:lang w:val="pt-PT"/>
              </w:rPr>
              <w:t>O quadro Canvas é guardado como PDF acessível e a data de revisão está definida para seis meses.</w:t>
            </w:r>
          </w:p>
        </w:tc>
        <w:sdt>
          <w:sdtPr>
            <w:rPr>
              <w:rFonts w:cs="Poppins"/>
              <w:sz w:val="20"/>
              <w:szCs w:val="20"/>
            </w:rPr>
            <w:id w:val="1483427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47D6521" w14:textId="12FEB550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49882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99D8646" w14:textId="507E8B2A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</w:tbl>
    <w:p w14:paraId="73A7F9F4" w14:textId="56729E43" w:rsidR="00BA632E" w:rsidRPr="00BA632E" w:rsidRDefault="00BA632E" w:rsidP="006F0D96">
      <w:pPr>
        <w:spacing w:line="276" w:lineRule="auto"/>
        <w:ind w:firstLine="0"/>
      </w:pPr>
    </w:p>
    <w:sectPr w:rsidR="00BA632E" w:rsidRPr="00BA632E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2AF3A" w14:textId="77777777" w:rsidR="0063286C" w:rsidRDefault="0063286C">
      <w:pPr>
        <w:spacing w:after="0" w:line="240" w:lineRule="auto"/>
      </w:pPr>
      <w:r>
        <w:separator/>
      </w:r>
    </w:p>
  </w:endnote>
  <w:endnote w:type="continuationSeparator" w:id="0">
    <w:p w14:paraId="7827F78C" w14:textId="77777777" w:rsidR="0063286C" w:rsidRDefault="00632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  <w:lang w:val="pt-PT"/>
          </w:rPr>
          <w:fldChar w:fldCharType="begin"/>
        </w:r>
        <w:r>
          <w:rPr>
            <w:rStyle w:val="Nmerodepgina"/>
            <w:lang w:val="pt-PT"/>
          </w:rPr>
          <w:instrText xml:space="preserve"> PAGE </w:instrText>
        </w:r>
        <w:r>
          <w:rPr>
            <w:rStyle w:val="Nmerodepgina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Rodap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Rodap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679D0" w14:textId="77777777" w:rsidR="0063286C" w:rsidRDefault="0063286C">
      <w:pPr>
        <w:spacing w:after="0" w:line="240" w:lineRule="auto"/>
      </w:pPr>
      <w:r>
        <w:separator/>
      </w:r>
    </w:p>
  </w:footnote>
  <w:footnote w:type="continuationSeparator" w:id="0">
    <w:p w14:paraId="43FEF101" w14:textId="77777777" w:rsidR="0063286C" w:rsidRDefault="00632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Cabealho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Ttulo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2"/>
  </w:num>
  <w:num w:numId="2" w16cid:durableId="1937517448">
    <w:abstractNumId w:val="19"/>
  </w:num>
  <w:num w:numId="3" w16cid:durableId="1506356308">
    <w:abstractNumId w:val="29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7"/>
  </w:num>
  <w:num w:numId="7" w16cid:durableId="53817011">
    <w:abstractNumId w:val="26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3"/>
  </w:num>
  <w:num w:numId="11" w16cid:durableId="709039614">
    <w:abstractNumId w:val="21"/>
  </w:num>
  <w:num w:numId="12" w16cid:durableId="118963739">
    <w:abstractNumId w:val="15"/>
  </w:num>
  <w:num w:numId="13" w16cid:durableId="1545294144">
    <w:abstractNumId w:val="18"/>
  </w:num>
  <w:num w:numId="14" w16cid:durableId="1403913584">
    <w:abstractNumId w:val="27"/>
  </w:num>
  <w:num w:numId="15" w16cid:durableId="73941527">
    <w:abstractNumId w:val="23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1"/>
  </w:num>
  <w:num w:numId="20" w16cid:durableId="2139300044">
    <w:abstractNumId w:val="14"/>
  </w:num>
  <w:num w:numId="21" w16cid:durableId="1520123905">
    <w:abstractNumId w:val="12"/>
  </w:num>
  <w:num w:numId="22" w16cid:durableId="443968025">
    <w:abstractNumId w:val="10"/>
  </w:num>
  <w:num w:numId="23" w16cid:durableId="1206866270">
    <w:abstractNumId w:val="16"/>
  </w:num>
  <w:num w:numId="24" w16cid:durableId="1620407397">
    <w:abstractNumId w:val="24"/>
  </w:num>
  <w:num w:numId="25" w16cid:durableId="1605576064">
    <w:abstractNumId w:val="0"/>
  </w:num>
  <w:num w:numId="26" w16cid:durableId="1775901064">
    <w:abstractNumId w:val="28"/>
  </w:num>
  <w:num w:numId="27" w16cid:durableId="1582175898">
    <w:abstractNumId w:val="7"/>
  </w:num>
  <w:num w:numId="28" w16cid:durableId="1580558544">
    <w:abstractNumId w:val="20"/>
  </w:num>
  <w:num w:numId="29" w16cid:durableId="322897224">
    <w:abstractNumId w:val="25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15F3D"/>
    <w:rsid w:val="00032440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206DB1"/>
    <w:rsid w:val="00224535"/>
    <w:rsid w:val="00242910"/>
    <w:rsid w:val="00291352"/>
    <w:rsid w:val="00367797"/>
    <w:rsid w:val="003A4319"/>
    <w:rsid w:val="003A7B56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F5585"/>
    <w:rsid w:val="006221BE"/>
    <w:rsid w:val="0063286C"/>
    <w:rsid w:val="00674F12"/>
    <w:rsid w:val="006B36F8"/>
    <w:rsid w:val="006D5A89"/>
    <w:rsid w:val="006E59B7"/>
    <w:rsid w:val="006F0D96"/>
    <w:rsid w:val="006F1B2F"/>
    <w:rsid w:val="00703801"/>
    <w:rsid w:val="0071049D"/>
    <w:rsid w:val="00720B76"/>
    <w:rsid w:val="00746217"/>
    <w:rsid w:val="007D3FFE"/>
    <w:rsid w:val="007F257C"/>
    <w:rsid w:val="008037BA"/>
    <w:rsid w:val="00811EFB"/>
    <w:rsid w:val="00817CCC"/>
    <w:rsid w:val="0084256E"/>
    <w:rsid w:val="00881F61"/>
    <w:rsid w:val="008A0453"/>
    <w:rsid w:val="009029BE"/>
    <w:rsid w:val="009209FB"/>
    <w:rsid w:val="00951177"/>
    <w:rsid w:val="0096318D"/>
    <w:rsid w:val="009747F7"/>
    <w:rsid w:val="0099475F"/>
    <w:rsid w:val="009A1521"/>
    <w:rsid w:val="009A31E2"/>
    <w:rsid w:val="00A76534"/>
    <w:rsid w:val="00A85BEB"/>
    <w:rsid w:val="00AC63E7"/>
    <w:rsid w:val="00B21354"/>
    <w:rsid w:val="00B30C01"/>
    <w:rsid w:val="00B421F8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576C1"/>
    <w:rsid w:val="00C86D7A"/>
    <w:rsid w:val="00CB7601"/>
    <w:rsid w:val="00CC3A53"/>
    <w:rsid w:val="00CC5207"/>
    <w:rsid w:val="00D20C38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001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F001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0011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comGrelha">
    <w:name w:val="Table Grid"/>
    <w:basedOn w:val="Tabela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semiHidden/>
    <w:unhideWhenUsed/>
    <w:rsid w:val="00F00116"/>
  </w:style>
  <w:style w:type="paragraph" w:styleId="Cabealhodondice">
    <w:name w:val="TOC Heading"/>
    <w:basedOn w:val="Ttulo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F00116"/>
    <w:rPr>
      <w:color w:val="467886" w:themeColor="hyperlink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ndice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ndice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ndice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ndice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ndice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ndice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ndice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SemEspaamento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commarcas">
    <w:name w:val="List Bullet"/>
    <w:basedOn w:val="Normal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Ana Rita Peralta</cp:lastModifiedBy>
  <cp:revision>4</cp:revision>
  <dcterms:created xsi:type="dcterms:W3CDTF">2025-11-17T11:20:00Z</dcterms:created>
  <dcterms:modified xsi:type="dcterms:W3CDTF">2025-12-17T20:05:00Z</dcterms:modified>
</cp:coreProperties>
</file>